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5B" w:rsidRPr="00AE635B" w:rsidRDefault="00AE635B" w:rsidP="009C5AA1">
      <w:pPr>
        <w:spacing w:after="0" w:line="240" w:lineRule="auto"/>
        <w:jc w:val="center"/>
        <w:rPr>
          <w:rFonts w:ascii="Times New Roman" w:eastAsia="Times New Roman" w:hAnsi="Times New Roman" w:cs="Times New Roman"/>
          <w:sz w:val="24"/>
          <w:szCs w:val="24"/>
          <w:lang w:eastAsia="es-ES"/>
        </w:rPr>
      </w:pPr>
      <w:bookmarkStart w:id="0" w:name="_GoBack"/>
      <w:bookmarkEnd w:id="0"/>
      <w:r w:rsidRPr="00AE635B">
        <w:rPr>
          <w:rFonts w:ascii="Times New Roman" w:eastAsia="Times New Roman" w:hAnsi="Times New Roman" w:cs="Times New Roman"/>
          <w:color w:val="000000"/>
          <w:sz w:val="24"/>
          <w:szCs w:val="24"/>
          <w:lang w:eastAsia="es-ES"/>
        </w:rPr>
        <w:t>M U N I C I P A L I D A D   </w:t>
      </w:r>
      <w:proofErr w:type="gramStart"/>
      <w:r w:rsidRPr="00AE635B">
        <w:rPr>
          <w:rFonts w:ascii="Times New Roman" w:eastAsia="Times New Roman" w:hAnsi="Times New Roman" w:cs="Times New Roman"/>
          <w:color w:val="000000"/>
          <w:sz w:val="24"/>
          <w:szCs w:val="24"/>
          <w:lang w:eastAsia="es-ES"/>
        </w:rPr>
        <w:t>DE  B</w:t>
      </w:r>
      <w:proofErr w:type="gramEnd"/>
      <w:r w:rsidRPr="00AE635B">
        <w:rPr>
          <w:rFonts w:ascii="Times New Roman" w:eastAsia="Times New Roman" w:hAnsi="Times New Roman" w:cs="Times New Roman"/>
          <w:color w:val="000000"/>
          <w:sz w:val="24"/>
          <w:szCs w:val="24"/>
          <w:lang w:eastAsia="es-ES"/>
        </w:rPr>
        <w:t xml:space="preserve"> R A G A D O</w:t>
      </w:r>
    </w:p>
    <w:p w:rsidR="00AE635B" w:rsidRPr="00AE635B" w:rsidRDefault="00AE635B" w:rsidP="009C5AA1">
      <w:pPr>
        <w:spacing w:after="0" w:line="240" w:lineRule="auto"/>
        <w:jc w:val="center"/>
        <w:rPr>
          <w:rFonts w:ascii="Times New Roman" w:eastAsia="Times New Roman" w:hAnsi="Times New Roman" w:cs="Times New Roman"/>
          <w:sz w:val="24"/>
          <w:szCs w:val="24"/>
          <w:lang w:eastAsia="es-ES"/>
        </w:rPr>
      </w:pPr>
      <w:proofErr w:type="gramStart"/>
      <w:r w:rsidRPr="00AE635B">
        <w:rPr>
          <w:rFonts w:ascii="Times New Roman" w:eastAsia="Times New Roman" w:hAnsi="Times New Roman" w:cs="Times New Roman"/>
          <w:color w:val="000000"/>
          <w:sz w:val="24"/>
          <w:szCs w:val="24"/>
          <w:lang w:eastAsia="es-ES"/>
        </w:rPr>
        <w:t>DEPARTAMENTO  EJECUTIVO</w:t>
      </w:r>
      <w:proofErr w:type="gramEnd"/>
    </w:p>
    <w:p w:rsidR="00AE635B" w:rsidRPr="00AE635B" w:rsidRDefault="00AE635B" w:rsidP="009C5AA1">
      <w:pPr>
        <w:spacing w:after="0" w:line="240" w:lineRule="auto"/>
        <w:jc w:val="center"/>
        <w:rPr>
          <w:rFonts w:ascii="Times New Roman" w:eastAsia="Times New Roman" w:hAnsi="Times New Roman" w:cs="Times New Roman"/>
          <w:sz w:val="24"/>
          <w:szCs w:val="24"/>
          <w:lang w:eastAsia="es-ES"/>
        </w:rPr>
      </w:pPr>
    </w:p>
    <w:p w:rsidR="00AE635B" w:rsidRPr="00AE635B" w:rsidRDefault="00AE635B" w:rsidP="009C5AA1">
      <w:pPr>
        <w:spacing w:after="0" w:line="240" w:lineRule="auto"/>
        <w:jc w:val="center"/>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DECRETO N° 14</w:t>
      </w:r>
      <w:r w:rsidR="00E44630">
        <w:rPr>
          <w:rFonts w:ascii="Times New Roman" w:eastAsia="Times New Roman" w:hAnsi="Times New Roman" w:cs="Times New Roman"/>
          <w:color w:val="000000"/>
          <w:sz w:val="24"/>
          <w:szCs w:val="24"/>
          <w:lang w:eastAsia="es-ES"/>
        </w:rPr>
        <w:t>91</w:t>
      </w:r>
      <w:r w:rsidRPr="00AE635B">
        <w:rPr>
          <w:rFonts w:ascii="Times New Roman" w:eastAsia="Times New Roman" w:hAnsi="Times New Roman" w:cs="Times New Roman"/>
          <w:color w:val="000000"/>
          <w:sz w:val="24"/>
          <w:szCs w:val="24"/>
          <w:lang w:eastAsia="es-ES"/>
        </w:rPr>
        <w:t>/21</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VISTO:</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Los Decretos de Necesidad y Urgencia Nº297/2020, N°325/2020, N°355/2020,  N°408/2020, N°459/2020, N°493/2020, N°520/2020, N°576/2020, N°605/2020, N°641/2020, N°677/2020, N°714/2020, N°754/2020, N°792/2020, N°814/2020, N°875/2020, N°956/2020, N°985/2020, N°1033/2020, N°67/2021, N°125/2021, N°168/2021, N°235/2021, N°241/2021, N°287/2021, N°334/2021, N°381/2021,  N°411/2021, N°455/2021, N°494/2021 y N°678/2021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N°691/2021, N°764/2021, N°820/2021, N°937/2021 y N°1142/2021; y</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CONSIDERANDO:</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Que, en tal sentido las medidas adoptadas van en consonancia con las disposiciones de los Decretos Provinciales N°127/2020, N°132/2020, N°771/2020, N°976/2020, N°106/2021, N°178/2021, N°181/2021, N°270/2021, N°307/2021, N°403/2021, N°476/2021, N°583/2021 y N°837/2021;</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 N°381/2021, N°411/2021, N°455/2021, N°494/2021, y N°678/2021 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N°691/2021, N°764/2021, N°820/2021, N°937/2021 y N°1142/2021; por ello: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EL INTENDENTE MUNICIPAL </w:t>
      </w:r>
    </w:p>
    <w:p w:rsidR="00AE635B" w:rsidRPr="00AE635B" w:rsidRDefault="00AE635B" w:rsidP="00AE635B">
      <w:pPr>
        <w:spacing w:after="0" w:line="240" w:lineRule="auto"/>
        <w:jc w:val="center"/>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D E C R E T A</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t>ARTÍCULO 1°:</w:t>
      </w:r>
      <w:r w:rsidRPr="00AE635B">
        <w:rPr>
          <w:rFonts w:ascii="Times New Roman" w:eastAsia="Times New Roman" w:hAnsi="Times New Roman" w:cs="Times New Roman"/>
          <w:color w:val="000000"/>
          <w:sz w:val="24"/>
          <w:szCs w:val="24"/>
          <w:lang w:eastAsia="es-ES"/>
        </w:rPr>
        <w:t xml:space="preserve"> ADHERIR en todos sus términos al Decreto de Necesidad y Urgencia N°678/2021 emitido por el Gobierno Nacional, como así también al Decreto N°837/2021 emitido por el Gobierno de la Provincia de Buenos Aires.-</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lastRenderedPageBreak/>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t>ARTÍCULO 2°:</w:t>
      </w:r>
      <w:r w:rsidRPr="00AE635B">
        <w:rPr>
          <w:rFonts w:ascii="Times New Roman" w:eastAsia="Times New Roman" w:hAnsi="Times New Roman" w:cs="Times New Roman"/>
          <w:color w:val="000000"/>
          <w:sz w:val="24"/>
          <w:szCs w:val="24"/>
          <w:lang w:eastAsia="es-ES"/>
        </w:rPr>
        <w:t xml:space="preserve"> MEDIDAS PREVENTIVAS GENERALES: Se deberán atender las siguientes reglas de conducta: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a. Las personas deberán mantener, entre ellas, una distancia mínima de DOS (2) metros.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b. Las personas deberán utilizar tapabocas en espacios compartidos cerrados y abiertos. No será obligatorio su uso solo cuando se circule al aire libre a más de DOS (2) metros de distancia de otras personas.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c. Se deberán ventilar los ambientes en forma adecuada y constante.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d. Las personas deberán higienizarse asiduamente las manos.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e. Todas las actividades deberán realizarse dando cumplimiento a los protocolos de actividades y a las recomendaciones e instrucciones de las autoridades sanitarias nacional, provinciales y municipales.</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f. En ningún caso podrán circular las personas que revistan la condición de “caso confirmado”, “caso sospechoso” o “contacto estrecho” de COVID-19, conforme las definiciones establecidas por la autoridad sanitaria nacional, ni quienes deban cumplir aislamiento en los términos del Decreto N° 260/20, prorrogado en los términos del Decreto N° 167/21, sus modificatorios y normas complementarias.</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t>ARTÍCULO 3</w:t>
      </w:r>
      <w:r w:rsidRPr="00AE635B">
        <w:rPr>
          <w:rFonts w:ascii="Times New Roman" w:eastAsia="Times New Roman" w:hAnsi="Times New Roman" w:cs="Times New Roman"/>
          <w:color w:val="000000"/>
          <w:sz w:val="24"/>
          <w:szCs w:val="24"/>
          <w:lang w:eastAsia="es-ES"/>
        </w:rPr>
        <w:t xml:space="preserve">°: ACTIVIDADES DE MAYOR RIESGO EPIDEMIOLÓGICO Y SANITARIO: Las siguientes actividades, que suponen un mayor riesgo epidemiológico y sanitario, deberán cumplir, además de los protocolos, recomendaciones e instrucciones de las autoridades sanitarias nacional, provinciales y municipales, las siguientes condiciones para su realización: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a) Los viajes grupales de egresados y egresadas, de estudiantes o similares, con excepción de </w:t>
      </w:r>
      <w:r w:rsidR="009C5AA1">
        <w:rPr>
          <w:rFonts w:ascii="Times New Roman" w:eastAsia="Times New Roman" w:hAnsi="Times New Roman" w:cs="Times New Roman"/>
          <w:color w:val="000000"/>
          <w:sz w:val="24"/>
          <w:szCs w:val="24"/>
          <w:lang w:eastAsia="es-ES"/>
        </w:rPr>
        <w:t>los contemplados en el inciso b)</w:t>
      </w:r>
      <w:r w:rsidRPr="00AE635B">
        <w:rPr>
          <w:rFonts w:ascii="Times New Roman" w:eastAsia="Times New Roman" w:hAnsi="Times New Roman" w:cs="Times New Roman"/>
          <w:color w:val="000000"/>
          <w:sz w:val="24"/>
          <w:szCs w:val="24"/>
          <w:lang w:eastAsia="es-ES"/>
        </w:rPr>
        <w:t xml:space="preserve">, deberán contar con autorización de las jurisdicciones provinciales de destino y permanencia.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Todas las personas integrantes del contingente deberán contar con un test de antígeno negativo al embarcar.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Al regreso, las personas integrantes del contingente deberán: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i. Realizar un test de antígeno previo al abordaje al transporte de regreso. De resultar positivo alguno de los </w:t>
      </w:r>
      <w:proofErr w:type="spellStart"/>
      <w:r w:rsidRPr="00AE635B">
        <w:rPr>
          <w:rFonts w:ascii="Times New Roman" w:eastAsia="Times New Roman" w:hAnsi="Times New Roman" w:cs="Times New Roman"/>
          <w:color w:val="000000"/>
          <w:sz w:val="24"/>
          <w:szCs w:val="24"/>
          <w:lang w:eastAsia="es-ES"/>
        </w:rPr>
        <w:t>tests</w:t>
      </w:r>
      <w:proofErr w:type="spellEnd"/>
      <w:r w:rsidRPr="00AE635B">
        <w:rPr>
          <w:rFonts w:ascii="Times New Roman" w:eastAsia="Times New Roman" w:hAnsi="Times New Roman" w:cs="Times New Roman"/>
          <w:color w:val="000000"/>
          <w:sz w:val="24"/>
          <w:szCs w:val="24"/>
          <w:lang w:eastAsia="es-ES"/>
        </w:rPr>
        <w:t xml:space="preserve"> diagnósticos, se deberá coordinar con las autoridades locales para el aislamiento de los casos y sus contactos estrechos.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ii. Aquellas personas que no cuenten con esquema completo de vacunación CATORCE (14) días previos al inicio del viaje, deberán realizar un aislamiento de SIETE (7) días y, por su cuenta, un nuevo testeo que deberá ser informado al Sistema Nacional de Vigilancia por el laboratorio. El control de la realización del testeo estará a cargo de la empresa de viajes.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b) En los viajes grupales de jubilados y jubiladas todas las personas integrantes del contingente deberán presentar esquema de vacunación completo ocurrido por lo menos CATORCE (14) días previos al inicio del viaje.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c) Las actividades en discotecas, locales bailables o similares que se realicen en espacios cerrados, podrán utilizar, como máximo, el CINCUENTA POR CIENTO (50%) de la capacidad autorizada, salvo en los casos en que expresamente esté previsto un aforo menor por normativa vigente. Además, deberán requerir a quienes concurran a estas actividades, esquema completo de vacunación ocurrido al menos CATORCE (14) días antes de la actividad;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d) Las actividades en salones de fiestas para bailes, bailes o similares que se realicen en espacios cerrados, podrán utilizar, como máximo, el CINCUENTA POR CIENTO (50%) de la capacidad autorizada, salvo en los casos en que expresamente esté previsto un aforo menor por normativa vigente. Además, deberán requerir a quienes concurran a estas </w:t>
      </w:r>
      <w:r w:rsidRPr="00AE635B">
        <w:rPr>
          <w:rFonts w:ascii="Times New Roman" w:eastAsia="Times New Roman" w:hAnsi="Times New Roman" w:cs="Times New Roman"/>
          <w:color w:val="000000"/>
          <w:sz w:val="24"/>
          <w:szCs w:val="24"/>
          <w:lang w:eastAsia="es-ES"/>
        </w:rPr>
        <w:lastRenderedPageBreak/>
        <w:t xml:space="preserve">actividades, esquema completo de vacunación ocurrido al menos CATORCE (14) días antes del evento, o test diagnóstico negativo realizado con una antelación no mayor a CUARENTA Y OCHO (48) horas.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e) Eventos masivos de más de MIL (1000) personas: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i. Los que se realicen en espacios cerrados podrán utilizar, como máximo, el CINCUENTA POR CIENTO (50%) de la capacidad autorizada y deberán requerir a las personas que concurran, que cuenten con esquema completo de vacunación ocurrido al menos CATORCE (14) días antes del evento, o al menos una dosis de vacuna más test diagnóstico negativo realizado con una antelación no mayor a CUARENTA Y OCHO (48) horas. </w:t>
      </w:r>
    </w:p>
    <w:p w:rsidR="00AE635B" w:rsidRDefault="00AE635B" w:rsidP="00AE635B">
      <w:pPr>
        <w:spacing w:after="0" w:line="240" w:lineRule="auto"/>
        <w:jc w:val="both"/>
        <w:rPr>
          <w:rFonts w:ascii="Times New Roman" w:eastAsia="Times New Roman" w:hAnsi="Times New Roman" w:cs="Times New Roman"/>
          <w:color w:val="000000"/>
          <w:sz w:val="24"/>
          <w:szCs w:val="24"/>
          <w:lang w:eastAsia="es-ES"/>
        </w:rPr>
      </w:pPr>
      <w:proofErr w:type="gramStart"/>
      <w:r w:rsidRPr="00AE635B">
        <w:rPr>
          <w:rFonts w:ascii="Times New Roman" w:eastAsia="Times New Roman" w:hAnsi="Times New Roman" w:cs="Times New Roman"/>
          <w:color w:val="000000"/>
          <w:sz w:val="24"/>
          <w:szCs w:val="24"/>
          <w:lang w:eastAsia="es-ES"/>
        </w:rPr>
        <w:t>ii</w:t>
      </w:r>
      <w:proofErr w:type="gramEnd"/>
      <w:r w:rsidRPr="00AE635B">
        <w:rPr>
          <w:rFonts w:ascii="Times New Roman" w:eastAsia="Times New Roman" w:hAnsi="Times New Roman" w:cs="Times New Roman"/>
          <w:color w:val="000000"/>
          <w:sz w:val="24"/>
          <w:szCs w:val="24"/>
          <w:lang w:eastAsia="es-ES"/>
        </w:rPr>
        <w:t xml:space="preserve">: Los que se realicen en espacios al aire libre podrán utilizar, como máximo, el CINCUENTA POR CIENTO (50%) de la capacidad autorizada y deberán requerir a las personas concurrentes mayores de DIECIOCHO (18) años que cuenten con, al menos, una dosis de vacuna aplicada, como mínimo, con una antelación de CATORCE (14) días antes del evento. </w:t>
      </w:r>
    </w:p>
    <w:p w:rsidR="009C5AA1" w:rsidRPr="00AE635B" w:rsidRDefault="009C5AA1" w:rsidP="00AE635B">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Los eventos citados, deberán contar con la autorización de la Oficina de Habilitaciones de la Municipalidad de Bragado, debiendo cumplir con los requisitos establecidos en la Ordenanza Municipal N°4863/2016</w:t>
      </w:r>
      <w:r w:rsidR="000324B8">
        <w:rPr>
          <w:rFonts w:ascii="Times New Roman" w:eastAsia="Times New Roman" w:hAnsi="Times New Roman" w:cs="Times New Roman"/>
          <w:color w:val="000000"/>
          <w:sz w:val="24"/>
          <w:szCs w:val="24"/>
          <w:lang w:eastAsia="es-ES"/>
        </w:rPr>
        <w:t>, y realizar la presentación con una antelación mínima de setenta y dos (72) horas hábiles</w:t>
      </w:r>
      <w:r>
        <w:rPr>
          <w:rFonts w:ascii="Times New Roman" w:eastAsia="Times New Roman" w:hAnsi="Times New Roman" w:cs="Times New Roman"/>
          <w:color w:val="000000"/>
          <w:sz w:val="24"/>
          <w:szCs w:val="24"/>
          <w:lang w:eastAsia="es-ES"/>
        </w:rPr>
        <w:t>.</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El Departamento Ejecutivo, en atención a las condiciones epidemiológicas y sanitarias, podrán establecer medidas sanitarias temporarias y focalizadas adicionales a las previstas en el presente artículo en los lugares bajo su jurisdicción, respecto de la realización de determinadas actividades de mayor riesgo epidemiológico y sanitario, con la finalidad de contener los contagios por COVID-19, o para disminuir el riesgo de transmisión, previa conformidad de la autoridad sanitaria municipal.</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E44630" w:rsidRDefault="00AE635B" w:rsidP="00AE635B">
      <w:pPr>
        <w:spacing w:after="0" w:line="240" w:lineRule="auto"/>
        <w:jc w:val="both"/>
        <w:rPr>
          <w:rFonts w:ascii="Times New Roman" w:eastAsia="Times New Roman" w:hAnsi="Times New Roman" w:cs="Times New Roman"/>
          <w:color w:val="000000"/>
          <w:sz w:val="24"/>
          <w:szCs w:val="24"/>
          <w:lang w:eastAsia="es-ES"/>
        </w:rPr>
      </w:pPr>
      <w:r w:rsidRPr="00AE635B">
        <w:rPr>
          <w:rFonts w:ascii="Times New Roman" w:eastAsia="Times New Roman" w:hAnsi="Times New Roman" w:cs="Times New Roman"/>
          <w:color w:val="000000"/>
          <w:sz w:val="24"/>
          <w:szCs w:val="24"/>
          <w:u w:val="single"/>
          <w:lang w:eastAsia="es-ES"/>
        </w:rPr>
        <w:t>ARTÍCULO 4°:</w:t>
      </w:r>
      <w:r w:rsidRPr="00AE635B">
        <w:rPr>
          <w:rFonts w:ascii="Times New Roman" w:eastAsia="Times New Roman" w:hAnsi="Times New Roman" w:cs="Times New Roman"/>
          <w:color w:val="000000"/>
          <w:sz w:val="24"/>
          <w:szCs w:val="24"/>
          <w:lang w:eastAsia="es-ES"/>
        </w:rPr>
        <w:t xml:space="preserve"> </w:t>
      </w:r>
      <w:r w:rsidR="00E44630">
        <w:rPr>
          <w:rFonts w:ascii="Times New Roman" w:eastAsia="Times New Roman" w:hAnsi="Times New Roman" w:cs="Times New Roman"/>
          <w:color w:val="000000"/>
          <w:sz w:val="24"/>
          <w:szCs w:val="24"/>
          <w:lang w:eastAsia="es-ES"/>
        </w:rPr>
        <w:t>ESTABLECER que las reuniones sociales y/o familiares que se realicen en inmuebles de propiedad privada, y que superen la concurrencia de más de cincuenta (50) personas, deberá ser comunicada en la Oficina de Habilitaciones de la Municipalidad de Bragado, con una antelación mínima de cuarenta y ocho (48) horas</w:t>
      </w:r>
      <w:r w:rsidR="00B6256F">
        <w:rPr>
          <w:rFonts w:ascii="Times New Roman" w:eastAsia="Times New Roman" w:hAnsi="Times New Roman" w:cs="Times New Roman"/>
          <w:color w:val="000000"/>
          <w:sz w:val="24"/>
          <w:szCs w:val="24"/>
          <w:lang w:eastAsia="es-ES"/>
        </w:rPr>
        <w:t xml:space="preserve"> hábiles</w:t>
      </w:r>
      <w:r w:rsidR="00E44630">
        <w:rPr>
          <w:rFonts w:ascii="Times New Roman" w:eastAsia="Times New Roman" w:hAnsi="Times New Roman" w:cs="Times New Roman"/>
          <w:color w:val="000000"/>
          <w:sz w:val="24"/>
          <w:szCs w:val="24"/>
          <w:lang w:eastAsia="es-ES"/>
        </w:rPr>
        <w:t>, debiendo dar cumplimiento a las medidas preventivas generales establecidas en el Artículo 2° del presente Decreto</w:t>
      </w:r>
      <w:r w:rsidR="00B6256F">
        <w:rPr>
          <w:rFonts w:ascii="Times New Roman" w:eastAsia="Times New Roman" w:hAnsi="Times New Roman" w:cs="Times New Roman"/>
          <w:color w:val="000000"/>
          <w:sz w:val="24"/>
          <w:szCs w:val="24"/>
          <w:lang w:eastAsia="es-ES"/>
        </w:rPr>
        <w:t>, y realizando la presentación con una antelación mínima de setenta y dos (72) horas</w:t>
      </w:r>
      <w:r w:rsidR="00E44630">
        <w:rPr>
          <w:rFonts w:ascii="Times New Roman" w:eastAsia="Times New Roman" w:hAnsi="Times New Roman" w:cs="Times New Roman"/>
          <w:color w:val="000000"/>
          <w:sz w:val="24"/>
          <w:szCs w:val="24"/>
          <w:lang w:eastAsia="es-ES"/>
        </w:rPr>
        <w:t>.</w:t>
      </w:r>
    </w:p>
    <w:p w:rsidR="00E44630" w:rsidRDefault="00E44630" w:rsidP="00AE635B">
      <w:pPr>
        <w:spacing w:after="0" w:line="240" w:lineRule="auto"/>
        <w:jc w:val="both"/>
        <w:rPr>
          <w:rFonts w:ascii="Times New Roman" w:eastAsia="Times New Roman" w:hAnsi="Times New Roman" w:cs="Times New Roman"/>
          <w:color w:val="000000"/>
          <w:sz w:val="24"/>
          <w:szCs w:val="24"/>
          <w:lang w:eastAsia="es-ES"/>
        </w:rPr>
      </w:pPr>
    </w:p>
    <w:p w:rsidR="00AE635B" w:rsidRPr="00AE635B" w:rsidRDefault="00E44630" w:rsidP="00AE635B">
      <w:pPr>
        <w:spacing w:after="0" w:line="240" w:lineRule="auto"/>
        <w:jc w:val="both"/>
        <w:rPr>
          <w:rFonts w:ascii="Times New Roman" w:eastAsia="Times New Roman" w:hAnsi="Times New Roman" w:cs="Times New Roman"/>
          <w:sz w:val="24"/>
          <w:szCs w:val="24"/>
          <w:lang w:eastAsia="es-ES"/>
        </w:rPr>
      </w:pPr>
      <w:r w:rsidRPr="00E44630">
        <w:rPr>
          <w:rFonts w:ascii="Times New Roman" w:eastAsia="Times New Roman" w:hAnsi="Times New Roman" w:cs="Times New Roman"/>
          <w:color w:val="000000"/>
          <w:sz w:val="24"/>
          <w:szCs w:val="24"/>
          <w:u w:val="single"/>
          <w:lang w:eastAsia="es-ES"/>
        </w:rPr>
        <w:t>ARTÍCULO 5°:</w:t>
      </w:r>
      <w:r>
        <w:rPr>
          <w:rFonts w:ascii="Times New Roman" w:eastAsia="Times New Roman" w:hAnsi="Times New Roman" w:cs="Times New Roman"/>
          <w:color w:val="000000"/>
          <w:sz w:val="24"/>
          <w:szCs w:val="24"/>
          <w:lang w:eastAsia="es-ES"/>
        </w:rPr>
        <w:t xml:space="preserve"> </w:t>
      </w:r>
      <w:r w:rsidR="00AE635B" w:rsidRPr="00AE635B">
        <w:rPr>
          <w:rFonts w:ascii="Times New Roman" w:eastAsia="Times New Roman" w:hAnsi="Times New Roman" w:cs="Times New Roman"/>
          <w:color w:val="000000"/>
          <w:sz w:val="24"/>
          <w:szCs w:val="24"/>
          <w:lang w:eastAsia="es-ES"/>
        </w:rPr>
        <w:t>PROTOCOLOS: Las actividades económicas, industriales, comerciales, de servicios, turísticas, religiosas, culturales, deportivas, recreativas y sociales deberán realizarse cumpliendo un protocolo de funcionamiento aprobado por la autoridad sanitaria nacional, provincial o municipal, según corresponda, que contemple la totalidad de las recomendaciones e instrucciones de la autoridad sanitaria nacional.</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Asimismo se establece la continuidad de la vigencia de todos los protocolos aprobados hasta la fecha.</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t xml:space="preserve">ARTICULO </w:t>
      </w:r>
      <w:r w:rsidR="00E44630">
        <w:rPr>
          <w:rFonts w:ascii="Times New Roman" w:eastAsia="Times New Roman" w:hAnsi="Times New Roman" w:cs="Times New Roman"/>
          <w:color w:val="000000"/>
          <w:sz w:val="24"/>
          <w:szCs w:val="24"/>
          <w:u w:val="single"/>
          <w:lang w:eastAsia="es-ES"/>
        </w:rPr>
        <w:t>6</w:t>
      </w:r>
      <w:r w:rsidRPr="00AE635B">
        <w:rPr>
          <w:rFonts w:ascii="Times New Roman" w:eastAsia="Times New Roman" w:hAnsi="Times New Roman" w:cs="Times New Roman"/>
          <w:color w:val="000000"/>
          <w:sz w:val="24"/>
          <w:szCs w:val="24"/>
          <w:u w:val="single"/>
          <w:lang w:eastAsia="es-ES"/>
        </w:rPr>
        <w:t>°</w:t>
      </w:r>
      <w:r w:rsidRPr="00AE635B">
        <w:rPr>
          <w:rFonts w:ascii="Times New Roman" w:eastAsia="Times New Roman" w:hAnsi="Times New Roman" w:cs="Times New Roman"/>
          <w:color w:val="000000"/>
          <w:sz w:val="24"/>
          <w:szCs w:val="24"/>
          <w:lang w:eastAsia="es-ES"/>
        </w:rPr>
        <w:t>: La Municipalidad de Bragado fiscalizará en forma periódica sobre el cumplimiento de las medidas de bioseguridad establecidas por las autoridades sanitarias correspondientes, como así también respecto de los pertinentes protocolos de las Actividades autorizadas por el Gobierno de la Provincia de Buenos Aires.</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t xml:space="preserve">ARTÍCULO </w:t>
      </w:r>
      <w:r w:rsidR="00E44630">
        <w:rPr>
          <w:rFonts w:ascii="Times New Roman" w:eastAsia="Times New Roman" w:hAnsi="Times New Roman" w:cs="Times New Roman"/>
          <w:color w:val="000000"/>
          <w:sz w:val="24"/>
          <w:szCs w:val="24"/>
          <w:u w:val="single"/>
          <w:lang w:eastAsia="es-ES"/>
        </w:rPr>
        <w:t>7</w:t>
      </w:r>
      <w:r w:rsidRPr="00AE635B">
        <w:rPr>
          <w:rFonts w:ascii="Times New Roman" w:eastAsia="Times New Roman" w:hAnsi="Times New Roman" w:cs="Times New Roman"/>
          <w:color w:val="000000"/>
          <w:sz w:val="24"/>
          <w:szCs w:val="24"/>
          <w:u w:val="single"/>
          <w:lang w:eastAsia="es-ES"/>
        </w:rPr>
        <w:t>º:</w:t>
      </w:r>
      <w:r w:rsidRPr="00AE635B">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lastRenderedPageBreak/>
        <w:t xml:space="preserve">ARTÍCULO </w:t>
      </w:r>
      <w:r w:rsidR="00E44630">
        <w:rPr>
          <w:rFonts w:ascii="Times New Roman" w:eastAsia="Times New Roman" w:hAnsi="Times New Roman" w:cs="Times New Roman"/>
          <w:color w:val="000000"/>
          <w:sz w:val="24"/>
          <w:szCs w:val="24"/>
          <w:u w:val="single"/>
          <w:lang w:eastAsia="es-ES"/>
        </w:rPr>
        <w:t>8</w:t>
      </w:r>
      <w:r w:rsidRPr="00AE635B">
        <w:rPr>
          <w:rFonts w:ascii="Times New Roman" w:eastAsia="Times New Roman" w:hAnsi="Times New Roman" w:cs="Times New Roman"/>
          <w:color w:val="000000"/>
          <w:sz w:val="24"/>
          <w:szCs w:val="24"/>
          <w:u w:val="single"/>
          <w:lang w:eastAsia="es-ES"/>
        </w:rPr>
        <w:t>°:</w:t>
      </w:r>
      <w:r w:rsidRPr="00AE635B">
        <w:rPr>
          <w:rFonts w:ascii="Times New Roman" w:eastAsia="Times New Roman" w:hAnsi="Times New Roman" w:cs="Times New Roman"/>
          <w:color w:val="000000"/>
          <w:sz w:val="24"/>
          <w:szCs w:val="24"/>
          <w:lang w:eastAsia="es-ES"/>
        </w:rPr>
        <w:t xml:space="preserve"> VIGENCIA: La presente medida entrará en vigencia a partir del día de la fecha y regirá hasta el día 31 de diciembre de 2021, inclusive.</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t xml:space="preserve">ARTICULO </w:t>
      </w:r>
      <w:r w:rsidR="00E44630">
        <w:rPr>
          <w:rFonts w:ascii="Times New Roman" w:eastAsia="Times New Roman" w:hAnsi="Times New Roman" w:cs="Times New Roman"/>
          <w:color w:val="000000"/>
          <w:sz w:val="24"/>
          <w:szCs w:val="24"/>
          <w:u w:val="single"/>
          <w:lang w:eastAsia="es-ES"/>
        </w:rPr>
        <w:t>9</w:t>
      </w:r>
      <w:r w:rsidRPr="00AE635B">
        <w:rPr>
          <w:rFonts w:ascii="Times New Roman" w:eastAsia="Times New Roman" w:hAnsi="Times New Roman" w:cs="Times New Roman"/>
          <w:color w:val="000000"/>
          <w:sz w:val="24"/>
          <w:szCs w:val="24"/>
          <w:u w:val="single"/>
          <w:lang w:eastAsia="es-ES"/>
        </w:rPr>
        <w:t>°:</w:t>
      </w:r>
      <w:r w:rsidRPr="00AE635B">
        <w:rPr>
          <w:rFonts w:ascii="Times New Roman" w:eastAsia="Times New Roman" w:hAnsi="Times New Roman" w:cs="Times New Roman"/>
          <w:color w:val="000000"/>
          <w:sz w:val="24"/>
          <w:szCs w:val="24"/>
          <w:lang w:eastAsia="es-ES"/>
        </w:rPr>
        <w:t xml:space="preserve"> El presente Decreto será refrendado por el Sr. Secretario de Gobierno.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u w:val="single"/>
          <w:lang w:eastAsia="es-ES"/>
        </w:rPr>
        <w:t>ARTÍCULO 1</w:t>
      </w:r>
      <w:r w:rsidR="00E44630">
        <w:rPr>
          <w:rFonts w:ascii="Times New Roman" w:eastAsia="Times New Roman" w:hAnsi="Times New Roman" w:cs="Times New Roman"/>
          <w:color w:val="000000"/>
          <w:sz w:val="24"/>
          <w:szCs w:val="24"/>
          <w:u w:val="single"/>
          <w:lang w:eastAsia="es-ES"/>
        </w:rPr>
        <w:t>0</w:t>
      </w:r>
      <w:r w:rsidRPr="00AE635B">
        <w:rPr>
          <w:rFonts w:ascii="Times New Roman" w:eastAsia="Times New Roman" w:hAnsi="Times New Roman" w:cs="Times New Roman"/>
          <w:color w:val="000000"/>
          <w:sz w:val="24"/>
          <w:szCs w:val="24"/>
          <w:u w:val="single"/>
          <w:lang w:eastAsia="es-ES"/>
        </w:rPr>
        <w:t>º:</w:t>
      </w:r>
      <w:r w:rsidRPr="00AE635B">
        <w:rPr>
          <w:rFonts w:ascii="Times New Roman" w:eastAsia="Times New Roman" w:hAnsi="Times New Roman" w:cs="Times New Roman"/>
          <w:color w:val="000000"/>
          <w:sz w:val="24"/>
          <w:szCs w:val="24"/>
          <w:lang w:eastAsia="es-ES"/>
        </w:rPr>
        <w:t xml:space="preserve"> FIRMAR, REGISTRAR, COMUNICAR, PUBLICAR EN EL BOLETIN OFICIAL Y ARCHIVAR.</w:t>
      </w:r>
    </w:p>
    <w:p w:rsidR="00AE635B" w:rsidRPr="00AE635B" w:rsidRDefault="00AE635B" w:rsidP="00AE635B">
      <w:pPr>
        <w:spacing w:after="0" w:line="240" w:lineRule="auto"/>
        <w:jc w:val="right"/>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xml:space="preserve">                                                                                    Bragado, </w:t>
      </w:r>
      <w:r w:rsidR="00E44630">
        <w:rPr>
          <w:rFonts w:ascii="Times New Roman" w:eastAsia="Times New Roman" w:hAnsi="Times New Roman" w:cs="Times New Roman"/>
          <w:color w:val="000000"/>
          <w:sz w:val="24"/>
          <w:szCs w:val="24"/>
          <w:lang w:eastAsia="es-ES"/>
        </w:rPr>
        <w:t>7</w:t>
      </w:r>
      <w:r w:rsidRPr="00AE635B">
        <w:rPr>
          <w:rFonts w:ascii="Times New Roman" w:eastAsia="Times New Roman" w:hAnsi="Times New Roman" w:cs="Times New Roman"/>
          <w:color w:val="000000"/>
          <w:sz w:val="24"/>
          <w:szCs w:val="24"/>
          <w:lang w:eastAsia="es-ES"/>
        </w:rPr>
        <w:t xml:space="preserve"> de Octubre de 2021</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AE635B" w:rsidRPr="00AE635B" w:rsidRDefault="00AE635B" w:rsidP="00AE635B">
      <w:pPr>
        <w:spacing w:after="0" w:line="240" w:lineRule="auto"/>
        <w:jc w:val="both"/>
        <w:rPr>
          <w:rFonts w:ascii="Times New Roman" w:eastAsia="Times New Roman" w:hAnsi="Times New Roman" w:cs="Times New Roman"/>
          <w:sz w:val="24"/>
          <w:szCs w:val="24"/>
          <w:lang w:eastAsia="es-ES"/>
        </w:rPr>
      </w:pPr>
      <w:r w:rsidRPr="00AE635B">
        <w:rPr>
          <w:rFonts w:ascii="Times New Roman" w:eastAsia="Times New Roman" w:hAnsi="Times New Roman" w:cs="Times New Roman"/>
          <w:color w:val="000000"/>
          <w:sz w:val="24"/>
          <w:szCs w:val="24"/>
          <w:lang w:eastAsia="es-ES"/>
        </w:rPr>
        <w:t> </w:t>
      </w:r>
    </w:p>
    <w:p w:rsidR="0016006C" w:rsidRDefault="0016006C"/>
    <w:sectPr w:rsidR="00160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5B"/>
    <w:rsid w:val="000324B8"/>
    <w:rsid w:val="0016006C"/>
    <w:rsid w:val="006B79F8"/>
    <w:rsid w:val="009C5AA1"/>
    <w:rsid w:val="00AE635B"/>
    <w:rsid w:val="00B6256F"/>
    <w:rsid w:val="00CB5B25"/>
    <w:rsid w:val="00E446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49178-1706-47CB-B35E-5C7EE087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1574</Words>
  <Characters>8659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AMD 2</cp:lastModifiedBy>
  <cp:revision>2</cp:revision>
  <cp:lastPrinted>2021-10-07T13:01:00Z</cp:lastPrinted>
  <dcterms:created xsi:type="dcterms:W3CDTF">2021-10-12T12:48:00Z</dcterms:created>
  <dcterms:modified xsi:type="dcterms:W3CDTF">2021-10-12T12:48:00Z</dcterms:modified>
</cp:coreProperties>
</file>